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0EE" w:rsidRDefault="009030EE" w:rsidP="009030EE">
      <w:pPr>
        <w:spacing w:after="40"/>
        <w:jc w:val="right"/>
      </w:pPr>
      <w:r>
        <w:rPr>
          <w:sz w:val="18"/>
          <w:szCs w:val="18"/>
        </w:rPr>
        <w:t>Załącznik nr 1 do Zapytania ofertowego</w:t>
      </w:r>
    </w:p>
    <w:p w:rsidR="00A36375" w:rsidRDefault="00A36375">
      <w:pPr>
        <w:spacing w:before="200" w:after="60"/>
        <w:jc w:val="center"/>
        <w:rPr>
          <w:b/>
          <w:bCs/>
          <w:color w:val="1F3864"/>
          <w:sz w:val="36"/>
          <w:szCs w:val="36"/>
        </w:rPr>
      </w:pPr>
    </w:p>
    <w:p w:rsidR="009030EE" w:rsidRDefault="009030EE">
      <w:pPr>
        <w:spacing w:before="200" w:after="60"/>
        <w:jc w:val="center"/>
        <w:rPr>
          <w:b/>
          <w:bCs/>
          <w:color w:val="1F3864"/>
          <w:sz w:val="36"/>
          <w:szCs w:val="36"/>
        </w:rPr>
      </w:pPr>
    </w:p>
    <w:p w:rsidR="003E4C72" w:rsidRPr="001A6ACB" w:rsidRDefault="00515B9C">
      <w:pPr>
        <w:spacing w:before="200" w:after="60"/>
        <w:jc w:val="center"/>
        <w:rPr>
          <w:sz w:val="24"/>
          <w:szCs w:val="24"/>
        </w:rPr>
      </w:pPr>
      <w:r w:rsidRPr="001A6ACB">
        <w:rPr>
          <w:b/>
          <w:bCs/>
          <w:color w:val="1F3864"/>
          <w:sz w:val="24"/>
          <w:szCs w:val="24"/>
        </w:rPr>
        <w:t>OPIS PRZEDMIOTU ZAMÓWIENIA</w:t>
      </w:r>
    </w:p>
    <w:p w:rsidR="001A6ACB" w:rsidRDefault="001A6ACB">
      <w:pPr>
        <w:pStyle w:val="Nagwek1"/>
        <w:rPr>
          <w:sz w:val="24"/>
          <w:szCs w:val="24"/>
        </w:rPr>
      </w:pPr>
    </w:p>
    <w:p w:rsidR="003E4C72" w:rsidRPr="001A6ACB" w:rsidRDefault="00515B9C">
      <w:pPr>
        <w:pStyle w:val="Nagwek1"/>
        <w:rPr>
          <w:sz w:val="22"/>
          <w:szCs w:val="22"/>
        </w:rPr>
      </w:pPr>
      <w:r w:rsidRPr="001A6ACB">
        <w:rPr>
          <w:sz w:val="22"/>
          <w:szCs w:val="22"/>
        </w:rPr>
        <w:t>1. PRZEDMIOT ZAMÓWIENIA</w:t>
      </w:r>
    </w:p>
    <w:p w:rsidR="003E4C72" w:rsidRDefault="00515B9C">
      <w:pPr>
        <w:spacing w:before="60" w:after="80"/>
        <w:jc w:val="both"/>
      </w:pPr>
      <w:r>
        <w:t>Przedmiotem zamówienia jest dostawa, montaż, konfiguracja i uruchomienie systemu parkingowego z obsługą na stanowisku recepcji na terenie Instytutu Biocybernetyki i Inżynierii Biomedycznej im. Macieja Nałęcza Polskiej Akademii Nauk w Warszawie</w:t>
      </w:r>
      <w:r w:rsidR="001A6ACB">
        <w:t xml:space="preserve"> przy</w:t>
      </w:r>
      <w:r>
        <w:t xml:space="preserve"> ul. Ks</w:t>
      </w:r>
      <w:r w:rsidR="001A6ACB">
        <w:t xml:space="preserve">ięcia </w:t>
      </w:r>
      <w:proofErr w:type="spellStart"/>
      <w:r>
        <w:t>Trojdena</w:t>
      </w:r>
      <w:proofErr w:type="spellEnd"/>
      <w:r>
        <w:t xml:space="preserve"> 4</w:t>
      </w:r>
      <w:r w:rsidR="001A6ACB">
        <w:t xml:space="preserve">. </w:t>
      </w:r>
    </w:p>
    <w:p w:rsidR="003E4C72" w:rsidRDefault="003E4C72">
      <w:pPr>
        <w:spacing w:before="40" w:after="40"/>
      </w:pPr>
    </w:p>
    <w:p w:rsidR="003E4C72" w:rsidRDefault="00515B9C">
      <w:pPr>
        <w:spacing w:before="60" w:after="80"/>
        <w:jc w:val="both"/>
      </w:pPr>
      <w:r>
        <w:t>Zamówienie obejmuje w szczególności: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 xml:space="preserve">dostawę fabrycznie nowych urządzeń: terminala wjazdowego z zasobnikiem biletów, terminala wyjazdowego, szlabanów wjazdowego i wyjazdowego, czytników kart zbliżeniowych, stacji skanowania biletów na recepcji, zestawu </w:t>
      </w:r>
      <w:proofErr w:type="spellStart"/>
      <w:r>
        <w:t>wideodomofonu</w:t>
      </w:r>
      <w:proofErr w:type="spellEnd"/>
      <w:r>
        <w:t>, stacji roboczej z oprogramowaniem;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wykonanie kompletnej instalacji elektrycznej i teletechnicznej;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montaż elementów ochrony mechanicznej (odbojnice, wysepki ochronne) przy terminalach;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instalację i konfigurację oprogramowania zarządzającego (z modułem biletowym i rozliczeniowym) na stacji roboczej recepcji;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przeprowadzenie testów funkcjonalnych i odbiór;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szkolenie personelu Zamawiającego;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przekazanie dokumentacji powykonawczej;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świadczenie serwisu gwarancyjnego.</w:t>
      </w:r>
    </w:p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E4C72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 w:rsidP="00BB017B">
            <w:pPr>
              <w:spacing w:before="30" w:after="30"/>
              <w:jc w:val="both"/>
            </w:pPr>
            <w:r>
              <w:rPr>
                <w:color w:val="856404"/>
                <w:sz w:val="18"/>
                <w:szCs w:val="18"/>
              </w:rPr>
              <w:t>System opisany w niniejszym Opisie Przedmiotu Zamówienia jest</w:t>
            </w:r>
            <w:r w:rsidR="00B40186">
              <w:rPr>
                <w:color w:val="856404"/>
                <w:sz w:val="18"/>
                <w:szCs w:val="18"/>
              </w:rPr>
              <w:t xml:space="preserve"> </w:t>
            </w:r>
            <w:r>
              <w:rPr>
                <w:color w:val="856404"/>
                <w:sz w:val="18"/>
                <w:szCs w:val="18"/>
              </w:rPr>
              <w:t>otwarty na rozbudowę. Zamawiający nie wyklucza w przyszłości rozszerzenia systemu o: automatyczne</w:t>
            </w:r>
            <w:r w:rsidR="00BB017B">
              <w:rPr>
                <w:color w:val="856404"/>
                <w:sz w:val="18"/>
                <w:szCs w:val="18"/>
              </w:rPr>
              <w:t xml:space="preserve"> </w:t>
            </w:r>
            <w:r>
              <w:rPr>
                <w:color w:val="856404"/>
                <w:sz w:val="18"/>
                <w:szCs w:val="18"/>
              </w:rPr>
              <w:t>kasy biletowe/parkingowe, system ANPR/LPR, tablicę informacyjną liczby wolnych miejsc, moduł</w:t>
            </w:r>
            <w:r w:rsidR="00BB017B">
              <w:rPr>
                <w:color w:val="856404"/>
                <w:sz w:val="18"/>
                <w:szCs w:val="18"/>
              </w:rPr>
              <w:t xml:space="preserve"> </w:t>
            </w:r>
            <w:r>
              <w:rPr>
                <w:color w:val="856404"/>
                <w:sz w:val="18"/>
                <w:szCs w:val="18"/>
              </w:rPr>
              <w:t>fiskalny. Wykonawca nie jest zobligowany do wdrożenia tych modułów w ramach niniejszego</w:t>
            </w:r>
            <w:r w:rsidR="00BB017B">
              <w:rPr>
                <w:color w:val="856404"/>
                <w:sz w:val="18"/>
                <w:szCs w:val="18"/>
              </w:rPr>
              <w:t xml:space="preserve"> </w:t>
            </w:r>
            <w:r>
              <w:rPr>
                <w:color w:val="856404"/>
                <w:sz w:val="18"/>
                <w:szCs w:val="18"/>
              </w:rPr>
              <w:t>zamówienia, jednak system musi architekturalnie zapewniać możliwość ich późniejszego dołączenia.</w:t>
            </w:r>
          </w:p>
        </w:tc>
      </w:tr>
    </w:tbl>
    <w:p w:rsidR="003E4C72" w:rsidRDefault="003E4C72">
      <w:pPr>
        <w:spacing w:before="40" w:after="40"/>
      </w:pPr>
    </w:p>
    <w:p w:rsidR="003E4C72" w:rsidRPr="00BB017B" w:rsidRDefault="00515B9C" w:rsidP="00BB017B">
      <w:pPr>
        <w:pStyle w:val="Nagwek2"/>
        <w:numPr>
          <w:ilvl w:val="1"/>
          <w:numId w:val="3"/>
        </w:numPr>
        <w:rPr>
          <w:sz w:val="22"/>
          <w:szCs w:val="22"/>
        </w:rPr>
      </w:pPr>
      <w:r w:rsidRPr="00BB017B">
        <w:rPr>
          <w:sz w:val="22"/>
          <w:szCs w:val="22"/>
        </w:rPr>
        <w:t>Termin realizacji</w:t>
      </w:r>
    </w:p>
    <w:p w:rsidR="00BB017B" w:rsidRPr="00616C78" w:rsidRDefault="00BB017B" w:rsidP="00BB017B">
      <w:pPr>
        <w:spacing w:before="60" w:after="80"/>
        <w:ind w:firstLine="560"/>
        <w:jc w:val="both"/>
      </w:pPr>
      <w:r w:rsidRPr="00616C78">
        <w:t>Termin wykonania zamówienia: do 60 dni kalendarzowych od dnia podpisania umowy, przy czym: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Zakończenie prac montażowych i instalacyjnych: do 50. dnia kalendarzowego od daty zawarcia umowy.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Przeprowadzenie testów funkcjonalnych, szkolenia personelu i podpisanie bezusterkowego protokołu odbioru końcowego: do 60. dnia kalendarzowego od daty zawarcia umowy.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Termin uznaje się za dotrzymany z chwilą podpisania bezusterkowego protokołu odbioru końcowego (POK).</w:t>
      </w:r>
    </w:p>
    <w:p w:rsidR="003E4C72" w:rsidRDefault="003E4C72">
      <w:pPr>
        <w:spacing w:before="40" w:after="40"/>
      </w:pPr>
    </w:p>
    <w:p w:rsidR="003E4C72" w:rsidRPr="00BB017B" w:rsidRDefault="00515B9C">
      <w:pPr>
        <w:pStyle w:val="Nagwek2"/>
        <w:rPr>
          <w:sz w:val="22"/>
          <w:szCs w:val="22"/>
        </w:rPr>
      </w:pPr>
      <w:r w:rsidRPr="00BB017B">
        <w:rPr>
          <w:sz w:val="22"/>
          <w:szCs w:val="22"/>
        </w:rPr>
        <w:t>1.2. Lokalizacja realizacji</w:t>
      </w:r>
    </w:p>
    <w:p w:rsidR="003E4C72" w:rsidRDefault="00515B9C">
      <w:pPr>
        <w:spacing w:before="60" w:after="80"/>
        <w:jc w:val="both"/>
      </w:pPr>
      <w:r>
        <w:t>Prace realizowane są na terenie IBIB PAN w Warszawie</w:t>
      </w:r>
      <w:r w:rsidR="00BB017B">
        <w:t xml:space="preserve"> przy </w:t>
      </w:r>
      <w:r>
        <w:t>ul. Ks</w:t>
      </w:r>
      <w:r w:rsidR="00BB017B">
        <w:t>ięcia</w:t>
      </w:r>
      <w:r>
        <w:t xml:space="preserve"> </w:t>
      </w:r>
      <w:proofErr w:type="spellStart"/>
      <w:r>
        <w:t>Trojdena</w:t>
      </w:r>
      <w:proofErr w:type="spellEnd"/>
      <w:r>
        <w:t xml:space="preserve"> 4, 02-109 Warszawa. Szczegółowe lokalizacje montażu urządzeń (wjazd, wyjazd, trasy kablowe, punkty przyłączeń elektrycznych) zostaną uzgodnione z Zamawiającym podczas wizji lokalnej. Stanowisko obsługi (recepcja) znajduje się w budynku C.</w:t>
      </w:r>
    </w:p>
    <w:p w:rsidR="003E4C72" w:rsidRDefault="003E4C72">
      <w:pPr>
        <w:spacing w:before="40" w:after="40"/>
      </w:pPr>
    </w:p>
    <w:p w:rsidR="00BB017B" w:rsidRDefault="00BB017B">
      <w:pPr>
        <w:spacing w:before="40" w:after="40"/>
      </w:pPr>
    </w:p>
    <w:p w:rsidR="003E4C72" w:rsidRPr="00BB017B" w:rsidRDefault="00515B9C">
      <w:pPr>
        <w:pStyle w:val="Nagwek2"/>
        <w:rPr>
          <w:sz w:val="22"/>
          <w:szCs w:val="22"/>
        </w:rPr>
      </w:pPr>
      <w:r w:rsidRPr="00BB017B">
        <w:rPr>
          <w:sz w:val="22"/>
          <w:szCs w:val="22"/>
        </w:rPr>
        <w:lastRenderedPageBreak/>
        <w:t>1.3. Wizja lokalna</w:t>
      </w:r>
    </w:p>
    <w:p w:rsidR="003E4C72" w:rsidRDefault="00515B9C">
      <w:pPr>
        <w:spacing w:before="60" w:after="80"/>
        <w:jc w:val="both"/>
      </w:pPr>
      <w:r>
        <w:t xml:space="preserve">Przed złożeniem oferty </w:t>
      </w:r>
      <w:r w:rsidR="00034A38">
        <w:t xml:space="preserve">zalecane jest </w:t>
      </w:r>
      <w:r>
        <w:t>przeprowadzeni</w:t>
      </w:r>
      <w:r w:rsidR="00034A38">
        <w:t>e</w:t>
      </w:r>
      <w:r>
        <w:t xml:space="preserve"> wizji lokalnej w celu rzetelnej wyceny prac instalacyjnych i uzgodnienia lokalizacji montażu urządzeń. Termin wizji należy uzgodnić z Zamawiającym pod adresem: </w:t>
      </w:r>
      <w:r w:rsidR="00BB017B">
        <w:t>pmajchrzyk</w:t>
      </w:r>
      <w:r>
        <w:t>@ibib.waw.pl. Zamawiający zapewni Wykonawcy dostęp do terenu i udostępni niezbędną dokumentację techniczną obiektu.</w:t>
      </w:r>
    </w:p>
    <w:p w:rsidR="003E4C72" w:rsidRDefault="00515B9C">
      <w:pPr>
        <w:spacing w:before="60" w:after="80"/>
        <w:jc w:val="both"/>
      </w:pPr>
      <w:r>
        <w:t>Wykonawca, który nie skorzystał z możliwości przeprowadzenia wizji lokalnej, składając ofertę oświadcza, że przyjmuje na siebie pełną odpowiedzialność za ewentualne rozbieżności pomiędzy założeniami przyjętymi w ofercie a stanem faktycznym na terenie realizacji.</w:t>
      </w:r>
    </w:p>
    <w:p w:rsidR="003E4C72" w:rsidRDefault="003E4C72">
      <w:pPr>
        <w:spacing w:before="40" w:after="40"/>
      </w:pPr>
    </w:p>
    <w:p w:rsidR="003E4C72" w:rsidRPr="00BB017B" w:rsidRDefault="00515B9C">
      <w:pPr>
        <w:pStyle w:val="Nagwek1"/>
        <w:rPr>
          <w:sz w:val="22"/>
          <w:szCs w:val="22"/>
        </w:rPr>
      </w:pPr>
      <w:r w:rsidRPr="00BB017B">
        <w:rPr>
          <w:sz w:val="22"/>
          <w:szCs w:val="22"/>
        </w:rPr>
        <w:t>2. MINIMALNE WYMAGANIA OGÓLNE</w:t>
      </w:r>
    </w:p>
    <w:p w:rsidR="003E4C72" w:rsidRPr="00BB017B" w:rsidRDefault="00515B9C">
      <w:pPr>
        <w:pStyle w:val="Nagwek2"/>
        <w:rPr>
          <w:sz w:val="22"/>
          <w:szCs w:val="22"/>
        </w:rPr>
      </w:pPr>
      <w:r w:rsidRPr="00BB017B">
        <w:rPr>
          <w:sz w:val="22"/>
          <w:szCs w:val="22"/>
        </w:rPr>
        <w:t>2.1. Warunki środowiskowe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Temperatura pracy (urządzenia zewnętrzne)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-30°C do +60°C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Temperatura pracy (urządzenia wewnętrzne)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0°C do +40°C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Wilgotność względna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Do 95%, bez kondensacji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Stopień ochrony (urządzenia zewnętrzne)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IP54 wg PN-EN 60529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Ochrona antykorozyjna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Powłoka proszkowa na stali lub stal nierdzewna; minimalna odporność 240 h w komorze solnej wg PN-EN ISO 9227, lub rozwiązanie równoważne o nie niższych właściwościach antykorozyjnych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Tryb pracy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Ciągły, 24/7/365</w:t>
            </w:r>
          </w:p>
        </w:tc>
      </w:tr>
    </w:tbl>
    <w:p w:rsidR="003E4C72" w:rsidRDefault="003E4C72">
      <w:pPr>
        <w:spacing w:before="40" w:after="40"/>
      </w:pPr>
    </w:p>
    <w:p w:rsidR="003E4C72" w:rsidRPr="00BB017B" w:rsidRDefault="00515B9C">
      <w:pPr>
        <w:pStyle w:val="Nagwek2"/>
        <w:rPr>
          <w:sz w:val="22"/>
          <w:szCs w:val="22"/>
        </w:rPr>
      </w:pPr>
      <w:r w:rsidRPr="00BB017B">
        <w:rPr>
          <w:sz w:val="22"/>
          <w:szCs w:val="22"/>
        </w:rPr>
        <w:t>2.2. Zasilanie i bezpieczeństwo przy braku zasilania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 xml:space="preserve">Zasilanie podstawowe wszystkich urządzeń: 230V AC ±10%, 50 </w:t>
      </w:r>
      <w:proofErr w:type="spellStart"/>
      <w:r>
        <w:t>Hz</w:t>
      </w:r>
      <w:proofErr w:type="spellEnd"/>
      <w:r>
        <w:t>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Każde urządzenie zabezpieczone osobnym zabezpieczeniem nadprądowym w rozdzielnicy elektrycznej.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Przy zaniku zasilania: możliwość ręcznego podniesienia ramienia szlabanu bez użycia narzędzi przez jedną osobę, w czasie do 30 sekund.</w:t>
      </w:r>
    </w:p>
    <w:p w:rsidR="003E4C72" w:rsidRDefault="003E4C72">
      <w:pPr>
        <w:spacing w:before="40" w:after="40"/>
      </w:pPr>
    </w:p>
    <w:p w:rsidR="003E4C72" w:rsidRPr="00BB017B" w:rsidRDefault="00515B9C">
      <w:pPr>
        <w:pStyle w:val="Nagwek2"/>
        <w:rPr>
          <w:sz w:val="22"/>
          <w:szCs w:val="22"/>
        </w:rPr>
      </w:pPr>
      <w:r w:rsidRPr="00BB017B">
        <w:rPr>
          <w:sz w:val="22"/>
          <w:szCs w:val="22"/>
        </w:rPr>
        <w:t>2.3. Gwarancja i serwis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 xml:space="preserve">Minimalny okres gwarancji na </w:t>
      </w:r>
      <w:r w:rsidR="00C703E3">
        <w:t xml:space="preserve">przedmiot zamówienia </w:t>
      </w:r>
      <w:r>
        <w:t>: 24 miesiące od daty podpisania bezusterkowego protokołu odbioru końcowego.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 xml:space="preserve">Czas reakcji serwisowej (przystąpienie do usunięcia awarii): do </w:t>
      </w:r>
      <w:r w:rsidR="00C2426F">
        <w:t>10</w:t>
      </w:r>
      <w:r>
        <w:t xml:space="preserve"> godzin w dni robocze od zgłoszenia.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 xml:space="preserve">Czas usunięcia awarii uniemożliwiającej korzystanie z systemu: do </w:t>
      </w:r>
      <w:r w:rsidR="00C703E3">
        <w:t>72</w:t>
      </w:r>
      <w:r>
        <w:t xml:space="preserve"> godzin od zgłoszenia.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Minimum jeden bezpłatny przegląd serwisowy w trakcie okresu gwarancyjnego, przeprowadzony nie wcześniej niż w 10. i nie później niż w 1</w:t>
      </w:r>
      <w:r w:rsidR="00C703E3">
        <w:t>2</w:t>
      </w:r>
      <w:bookmarkStart w:id="0" w:name="_GoBack"/>
      <w:bookmarkEnd w:id="0"/>
      <w:r>
        <w:t>. miesiącu od daty podpisania POK.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Zapewnienie dostępności aktualizacji oprogramowania przez minimum 5 lat od daty odbioru końcowego.</w:t>
      </w:r>
    </w:p>
    <w:p w:rsidR="00BB017B" w:rsidRDefault="00BB017B" w:rsidP="00BB017B">
      <w:pPr>
        <w:spacing w:before="40" w:after="40"/>
      </w:pPr>
    </w:p>
    <w:p w:rsidR="00BB017B" w:rsidRDefault="00BB017B" w:rsidP="00BB017B">
      <w:pPr>
        <w:spacing w:before="40" w:after="40"/>
      </w:pPr>
    </w:p>
    <w:p w:rsidR="00BB017B" w:rsidRDefault="00BB017B" w:rsidP="00BB017B">
      <w:pPr>
        <w:spacing w:before="40" w:after="40"/>
      </w:pPr>
    </w:p>
    <w:p w:rsidR="00BB017B" w:rsidRDefault="00BB017B" w:rsidP="00BB017B">
      <w:pPr>
        <w:spacing w:before="40" w:after="40"/>
      </w:pPr>
    </w:p>
    <w:p w:rsidR="003E4C72" w:rsidRPr="00BB017B" w:rsidRDefault="00515B9C">
      <w:pPr>
        <w:pStyle w:val="Nagwek1"/>
        <w:rPr>
          <w:sz w:val="22"/>
          <w:szCs w:val="22"/>
        </w:rPr>
      </w:pPr>
      <w:r w:rsidRPr="00BB017B">
        <w:rPr>
          <w:sz w:val="22"/>
          <w:szCs w:val="22"/>
        </w:rPr>
        <w:lastRenderedPageBreak/>
        <w:t>3. SZCZEGÓŁOWE PARAMETRY TECHNICZNE URZĄDZEŃ</w:t>
      </w:r>
    </w:p>
    <w:p w:rsidR="003E4C72" w:rsidRPr="00BB017B" w:rsidRDefault="00515B9C">
      <w:pPr>
        <w:pStyle w:val="Nagwek2"/>
        <w:rPr>
          <w:sz w:val="22"/>
          <w:szCs w:val="22"/>
        </w:rPr>
      </w:pPr>
      <w:r w:rsidRPr="00BB017B">
        <w:rPr>
          <w:sz w:val="22"/>
          <w:szCs w:val="22"/>
        </w:rPr>
        <w:t>3.1. Szlabany parkingowe (bariera wjazdowa i wyjazdowa)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Liczba sztuk (fabrycznie nowe)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2 szt. (wjazdowy + wyjazdowy)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Typ napędu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Elektryczny napęd bezpośredni lub przekładniowy; typ technologii napędu dowolny pod warunkiem spełnienia pozostałych parametrów funkcjonalnych określonych w niniejszej tabeli. Zamawiający nie narzuca technologii silnika.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Napięcie zasilania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 xml:space="preserve">230V AC ±10%, 50 </w:t>
            </w:r>
            <w:proofErr w:type="spellStart"/>
            <w:r>
              <w:rPr>
                <w:sz w:val="18"/>
                <w:szCs w:val="18"/>
              </w:rPr>
              <w:t>Hz</w:t>
            </w:r>
            <w:proofErr w:type="spellEnd"/>
            <w:r>
              <w:rPr>
                <w:sz w:val="18"/>
                <w:szCs w:val="18"/>
              </w:rPr>
              <w:t>; dopuszczalne wewnętrzne obniżenie napięcia roboczego przez sterownik urządzenia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Sterownik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Wbudowany elektroniczny sterownik ruchu z regulacją prędkości i siły zamknięcia; płynna regulacja czasu otwarcia/zamknięcia w zakresie 1,5–6 s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Trwałość mechaniczna (MCBF)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3 000 000 cykli roboczych, potwierdzone dokumentacją techniczną producenta lub wynikami badań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Obciążenie dobowe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200 cykli/dobę w trybie ciągłym 24/7/365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Czas otwarcia/zamknięcia ramienia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Regulowany w zakresie 1,5–6 s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Długość ramienia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Do 4 m; ramię w kolorze białym z diodami ostrzegawczymi LED na całej długości (czerwone przy zamknięciu, zielone przy otwarciu)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Moment obrotowy / siła utrzymania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Wystarczająca do pewnego utrzymania ramienia o długości do 4 m w pozycji zamkniętej przy wietrze bocznym do 80 km/h; wartość potwierdzona dokumentacją producenta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 xml:space="preserve">Detekcja przeszkody / </w:t>
            </w:r>
            <w:proofErr w:type="spellStart"/>
            <w:r>
              <w:rPr>
                <w:b/>
                <w:bCs/>
                <w:sz w:val="18"/>
                <w:szCs w:val="18"/>
              </w:rPr>
              <w:t>antykolizja</w:t>
            </w:r>
            <w:proofErr w:type="spellEnd"/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Wymagana – automatyczne zatrzymanie i cofnięcie ramienia przy wykryciu oporu podczas zamykania; czas reakcji ≤ 0,3 s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Alarm wyłamania ramienia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Wymagany – automatyczne wykrywanie uderzenia lub wyłamania z sygnalizacją w oprogramowaniu zarządzającym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Otwarcie awaryjne (brak zasilania)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Wymagane – ręczne odblokowanie i podniesienie ramienia bez użycia narzędzi przez jedną osobę, w czasie ≤ 30 s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Obudowa – materiał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Stal z powłoką proszkową lub stal nierdzewna; odporność antykorozyjna zgodna z pkt 2.1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Stopień ochrony obudowy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IP54 wg PN-EN 60529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Temperatura pracy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-30°C do +60°C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Certyfikat zgodności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Deklaracja zgodności WE/UE z właściwymi dyrektywami nowego podejścia (co najmniej: dyrektywa maszynowa 2006/42/WE oraz dyrektywa LVD 2014/35/UE)</w:t>
            </w:r>
          </w:p>
        </w:tc>
      </w:tr>
    </w:tbl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E4C72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E2C8F" w:rsidRPr="00B8351C" w:rsidRDefault="007E2C8F" w:rsidP="00BB017B">
            <w:pPr>
              <w:spacing w:before="30" w:after="30"/>
              <w:jc w:val="both"/>
              <w:rPr>
                <w:i/>
                <w:color w:val="2E74B5"/>
                <w:sz w:val="18"/>
                <w:szCs w:val="18"/>
              </w:rPr>
            </w:pPr>
            <w:r w:rsidRPr="00B8351C">
              <w:rPr>
                <w:rStyle w:val="Uwydatnienie"/>
                <w:i w:val="0"/>
                <w:sz w:val="18"/>
                <w:szCs w:val="18"/>
              </w:rPr>
              <w:t>Zamawiający dopuszcza rozwiązania równoważne.</w:t>
            </w:r>
          </w:p>
          <w:p w:rsidR="003E4C72" w:rsidRDefault="00515B9C" w:rsidP="00BB017B">
            <w:pPr>
              <w:spacing w:before="30" w:after="30"/>
              <w:jc w:val="both"/>
            </w:pPr>
            <w:r>
              <w:rPr>
                <w:color w:val="2E74B5"/>
                <w:sz w:val="18"/>
                <w:szCs w:val="18"/>
              </w:rPr>
              <w:t>Klauzula równoważności napędu: Za równoważne uznaje się każde rozwiązanie techniczne (silnik</w:t>
            </w:r>
          </w:p>
          <w:p w:rsidR="003E4C72" w:rsidRDefault="00515B9C" w:rsidP="00BB017B">
            <w:pPr>
              <w:spacing w:before="30" w:after="30"/>
              <w:jc w:val="both"/>
            </w:pPr>
            <w:proofErr w:type="spellStart"/>
            <w:r>
              <w:rPr>
                <w:color w:val="2E74B5"/>
                <w:sz w:val="18"/>
                <w:szCs w:val="18"/>
              </w:rPr>
              <w:t>bezszczotkowy</w:t>
            </w:r>
            <w:proofErr w:type="spellEnd"/>
            <w:r>
              <w:rPr>
                <w:color w:val="2E74B5"/>
                <w:sz w:val="18"/>
                <w:szCs w:val="18"/>
              </w:rPr>
              <w:t xml:space="preserve"> DC, silnik synchroniczny, silnik AC z falownikiem, napęd liniowy lub inne), które</w:t>
            </w:r>
          </w:p>
          <w:p w:rsidR="003E4C72" w:rsidRDefault="00515B9C" w:rsidP="00BB017B">
            <w:pPr>
              <w:spacing w:before="30" w:after="30"/>
              <w:jc w:val="both"/>
            </w:pPr>
            <w:r>
              <w:rPr>
                <w:color w:val="2E74B5"/>
                <w:sz w:val="18"/>
                <w:szCs w:val="18"/>
              </w:rPr>
              <w:t>spełnia łącznie wszystkie parametry funkcjonalne określone w powyższej tabeli. Wykonawca powołujący</w:t>
            </w:r>
          </w:p>
          <w:p w:rsidR="003E4C72" w:rsidRDefault="00515B9C" w:rsidP="00BB017B">
            <w:pPr>
              <w:spacing w:before="30" w:after="30"/>
              <w:jc w:val="both"/>
            </w:pPr>
            <w:r>
              <w:rPr>
                <w:color w:val="2E74B5"/>
                <w:sz w:val="18"/>
                <w:szCs w:val="18"/>
              </w:rPr>
              <w:t>się na rozwiązanie równoważne zobowiązany jest dołączyć do oferty kartę katalogową lub dokumentację</w:t>
            </w:r>
          </w:p>
          <w:p w:rsidR="003E4C72" w:rsidRDefault="00515B9C" w:rsidP="00BB017B">
            <w:pPr>
              <w:spacing w:before="30" w:after="30"/>
              <w:jc w:val="both"/>
            </w:pPr>
            <w:r>
              <w:rPr>
                <w:color w:val="2E74B5"/>
                <w:sz w:val="18"/>
                <w:szCs w:val="18"/>
              </w:rPr>
              <w:t>techniczną producenta potwierdzającą spełnienie wymagań minimalnych.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lastRenderedPageBreak/>
        <w:t>3.2. Terminal wjazdowy z zasobnikiem biletów</w:t>
      </w:r>
    </w:p>
    <w:p w:rsidR="003E4C72" w:rsidRDefault="00515B9C">
      <w:pPr>
        <w:spacing w:before="60" w:after="80"/>
        <w:jc w:val="both"/>
      </w:pPr>
      <w:r>
        <w:t>Terminal wjazdowy realizuje automatyczne wydawanie biletów po detekcji pojazdu oraz identyfikację kart abonamentowych.</w:t>
      </w:r>
    </w:p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Obudowa – materiał i ochrona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Stal z powłoką proszkową lub stal nierdzewna; min. IP54 wg PN-EN 60529; odporność antykorozyjna zgodna z pkt 2.1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Zasobnik biletów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Wymagany – terminal wydaje bilety z nadrukowanym kodem kreskowym (1D lub 2D), datą i godziną wjazdu, nazwą parkingu oraz informacją o konieczności opłacenia biletu w recepcji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Format biletu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Kod kreskowy 1D lub 2D (kompatybilny ze skanerem na stanowisku obsługi i terminalem wyjazdowym)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Powiadomienie o niskim zapasie biletów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Automatyczne powiadomienie (komunikat w oprogramowaniu zarządzającym i/lub wiadomość e-mail) przy zapełnieniu zasobnika w 15% lub mniej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Detekcja pojazdu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Pętla indukcyjna – wydanie biletu i otwarcie szlabanu wyłącznie po potwierdzeniu detekcji pojazdu przez pętlę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 xml:space="preserve">Interkom / </w:t>
            </w:r>
            <w:proofErr w:type="spellStart"/>
            <w:r>
              <w:rPr>
                <w:b/>
                <w:bCs/>
                <w:sz w:val="18"/>
                <w:szCs w:val="18"/>
              </w:rPr>
              <w:t>wideodomofon</w:t>
            </w:r>
            <w:proofErr w:type="spellEnd"/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Wbudowany lub zintegrowany – kamera kolorowa, mikrofon, głośnik (pełny duplex); łączność ze stanowiskiem obsługi na recepcji (zob. pkt 3.4)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Ochrona mechaniczna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Stalowe odbojnice lub wysepka zabezpieczająca terminal przed najechaniem pojazdem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Temperatura pracy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-30°C do +60°C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Stopień ochrony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IP54 wg PN-EN 60529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Certyfikat zgodności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Deklaracja zgodności WE/UE z właściwymi dyrektywami nowego podejścia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3.3. Czytniki kart zbliżeniowych</w:t>
      </w:r>
    </w:p>
    <w:p w:rsidR="003E4C72" w:rsidRDefault="00515B9C">
      <w:pPr>
        <w:spacing w:before="60" w:after="80"/>
        <w:jc w:val="both"/>
      </w:pPr>
      <w:r>
        <w:t>Kontrola dostępu dla klientów abonamentowych realizowana jest przy użyciu kart zbliżeniowych. Czytniki muszą spełniać następujące wymagania minimalne:</w:t>
      </w:r>
    </w:p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Standard kart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EM4102 (125 kHz) lub równoważny standard kart zbliżeniowych; kompatybilny z kartami aktualnie użytkowanymi w systemach Zamawiającego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Odległość odczytu karty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5 cm (karta przykładana do czytnika przy wysiadaniu z pojazdu); Zamawiający informuje, że odległość odczytu rzędu 60 cm wymagałaby zastosowania dedykowanych transponderów pojazdowych – rozwiązanie to nie jest przedmiotem niniejszego zamówienia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Interfejs do sterownika szlabanu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Wyjście przekaźnikowe lub interfejs cyfrowy zgodny ze sterownikiem szlabanu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Stopień ochrony obudowy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IP54 wg PN-EN 60529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Temperatura pracy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-30°C do +60°C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lastRenderedPageBreak/>
              <w:t>Napięcie zasilania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12V DC lub 24V DC (z zasilacza dostarczonego przez Wykonawcę)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Certyfikat zgodności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Deklaracja zgodności WE/UE z właściwymi dyrektywami nowego podejścia</w:t>
            </w:r>
          </w:p>
        </w:tc>
      </w:tr>
    </w:tbl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E4C72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color w:val="856404"/>
                <w:sz w:val="18"/>
                <w:szCs w:val="18"/>
              </w:rPr>
              <w:t>UWAGA – brak szyfrowania EM4102: Standard EM4102 (125 kHz) nie zapewnia szyfrowania danych ani</w:t>
            </w:r>
          </w:p>
          <w:p w:rsidR="003E4C72" w:rsidRDefault="00515B9C">
            <w:pPr>
              <w:spacing w:before="30" w:after="30"/>
            </w:pPr>
            <w:r>
              <w:rPr>
                <w:color w:val="856404"/>
                <w:sz w:val="18"/>
                <w:szCs w:val="18"/>
              </w:rPr>
              <w:t>uwierzytelniania kryptograficznego. Zamawiający jest świadomy tego ograniczenia i akceptuje je</w:t>
            </w:r>
          </w:p>
          <w:p w:rsidR="003E4C72" w:rsidRDefault="00515B9C">
            <w:pPr>
              <w:spacing w:before="30" w:after="30"/>
            </w:pPr>
            <w:r>
              <w:rPr>
                <w:color w:val="856404"/>
                <w:sz w:val="18"/>
                <w:szCs w:val="18"/>
              </w:rPr>
              <w:t>w kontekście niniejszego zamówienia. Wykonawca nie jest zobowiązany do stosowania kart z</w:t>
            </w:r>
          </w:p>
          <w:p w:rsidR="003E4C72" w:rsidRDefault="00515B9C">
            <w:pPr>
              <w:spacing w:before="30" w:after="30"/>
            </w:pPr>
            <w:r>
              <w:rPr>
                <w:color w:val="856404"/>
                <w:sz w:val="18"/>
                <w:szCs w:val="18"/>
              </w:rPr>
              <w:t>szyfrowaniem, chyba że Zamawiający wyraźnie tego zażąda w trakcie realizacji.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 xml:space="preserve">3.4. System </w:t>
      </w:r>
      <w:proofErr w:type="spellStart"/>
      <w:r w:rsidRPr="00B8351C">
        <w:rPr>
          <w:sz w:val="22"/>
          <w:szCs w:val="22"/>
        </w:rPr>
        <w:t>wideodomofonu</w:t>
      </w:r>
      <w:proofErr w:type="spellEnd"/>
      <w:r w:rsidRPr="00B8351C">
        <w:rPr>
          <w:sz w:val="22"/>
          <w:szCs w:val="22"/>
        </w:rPr>
        <w:t xml:space="preserve"> (interkom)</w:t>
      </w:r>
    </w:p>
    <w:p w:rsidR="003E4C72" w:rsidRDefault="00515B9C">
      <w:pPr>
        <w:spacing w:before="60" w:after="80"/>
        <w:jc w:val="both"/>
      </w:pPr>
      <w:r>
        <w:t>Wymagana jest łączność wideo i audio pomiędzy terminalami wjazdu i wyjazdu a stanowiskiem obsługi na recepcji (budynek C). System musi umożliwiać operatorowi na recepcji identyfikację wizualną kierowcy (kamera kolorowa) oraz komunikację głosową w trybie pełnego dupleksu.</w:t>
      </w:r>
    </w:p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Typ systemu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proofErr w:type="spellStart"/>
            <w:r>
              <w:rPr>
                <w:sz w:val="18"/>
                <w:szCs w:val="18"/>
              </w:rPr>
              <w:t>Wideodomofon</w:t>
            </w:r>
            <w:proofErr w:type="spellEnd"/>
            <w:r>
              <w:rPr>
                <w:sz w:val="18"/>
                <w:szCs w:val="18"/>
              </w:rPr>
              <w:t xml:space="preserve"> cyfrowy, dwukierunkowy (audio i wideo)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Stacje zewnętrzne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2 szt.: jedna przy terminalu wjazdowym, jedna przy terminalu wyjazdowym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Stacja wewnętrzna (recepcja, budynek C)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 xml:space="preserve">1 szt.; min. 7-calowy ekran LCD kolorowy, rozdzielczość min. 800×480; możliwość równoczesnego podglądu obu kamer (tryb </w:t>
            </w:r>
            <w:proofErr w:type="spellStart"/>
            <w:r>
              <w:rPr>
                <w:sz w:val="18"/>
                <w:szCs w:val="18"/>
              </w:rPr>
              <w:t>PiP</w:t>
            </w:r>
            <w:proofErr w:type="spellEnd"/>
            <w:r>
              <w:rPr>
                <w:sz w:val="18"/>
                <w:szCs w:val="18"/>
              </w:rPr>
              <w:t xml:space="preserve"> lub przełączanie)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Kamera stacji zewnętrznej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 xml:space="preserve">Kolorowa; min. rozdzielczość 1 </w:t>
            </w:r>
            <w:proofErr w:type="spellStart"/>
            <w:r>
              <w:rPr>
                <w:sz w:val="18"/>
                <w:szCs w:val="18"/>
              </w:rPr>
              <w:t>Mpx</w:t>
            </w:r>
            <w:proofErr w:type="spellEnd"/>
            <w:r>
              <w:rPr>
                <w:sz w:val="18"/>
                <w:szCs w:val="18"/>
              </w:rPr>
              <w:t xml:space="preserve"> (720p); oświetlacz IR do pracy nocnej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Komunikacja audio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Pełny duplex; głośnik i mikrofon na każdej stacji zewnętrznej i na stacji wewnętrznej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Inicjowanie połączenia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Przycisk wezwania na stacji zewnętrznej przy szlabanie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Zdalne otwarcie szlabanu z recepcji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Wymagane – przycisk fizyczny lub funkcja w oprogramowaniu na stanowisku obsługi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Stopień ochrony stacji zewnętrznych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IP54 wg PN-EN 60529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Temperatura pracy stacji zewnętrznych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-20°C do +55°C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Certyfikat zgodności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Deklaracja zgodności WE/UE z właściwymi dyrektywami nowego podejścia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3.5. Detekcja pojazdu – pętla indukcyjna</w:t>
      </w:r>
    </w:p>
    <w:p w:rsidR="003E4C72" w:rsidRDefault="00515B9C">
      <w:pPr>
        <w:spacing w:before="60" w:after="80"/>
        <w:jc w:val="both"/>
      </w:pPr>
      <w:r>
        <w:t>Detekcja obecności pojazdu realizowana jest przez pętle indukcyjne wbudowane w nawierzchnię. Wymagania:</w:t>
      </w:r>
    </w:p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Liczba pętli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2 szt. (po jednej przy każdym terminalu); liczba ostateczna do uzgodnienia podczas wizji lokalnej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lastRenderedPageBreak/>
              <w:t>Logika sterowania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Otwarcie szlabanu wyłącznie po potwierdzeniu detekcji pojazdu; zamknięcie po potwierdzeniu opuszczenia strefy detekcji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Ochrona przed zamknięciem na pojeździe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Wymagana – szlaban nie zamknie się przy pojeździe lub osobie znajdującej się w strefie detekcji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Wykrywanie zestawu pojazd–przyczepa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Awaria pętli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Przy awarii pętli szlaban nie otwiera się samoczynnie; operator może otworzyć ręcznie ze stanowiska obsługi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Kabel pętli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Odporny na ściskanie, przeznaczony do układania w nawierzchni; typ i przekrój zgodny z zaleceniami producenta sterownika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Sterownik pętli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Wbudowany w terminal lub jako osobny moduł; zasilanie 12V DC lub 24V DC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3.7. Terminal wyjazdowy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Obudowa – materiał i ochrona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Stal z powłoką proszkową lub stal nierdzewna; min. IP54 wg PN-EN 60529; odporność na uderzenia min. IK08 wg PN-EN 62262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Skaner kodu kreskowego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Wymagany – do odczytu biletu parkingowego z kodem kreskowym 1D lub 2D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Detekcja pojazdu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Pętla indukcyjna (analogicznie do terminala wjazdowego, pkt 3.5)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Weryfikacja opłaty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Terminal otwiera szlaban wyłącznie po potwierdzeniu opłacenia biletu przez stanowisko obsługi lub autoryzacji ręcznej przez operatora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 xml:space="preserve">Interkom / </w:t>
            </w:r>
            <w:proofErr w:type="spellStart"/>
            <w:r>
              <w:rPr>
                <w:b/>
                <w:bCs/>
                <w:sz w:val="18"/>
                <w:szCs w:val="18"/>
              </w:rPr>
              <w:t>wideodomofon</w:t>
            </w:r>
            <w:proofErr w:type="spellEnd"/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Wbudowany lub zintegrowany (analogicznie do terminala wjazdowego, pkt 3.4)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Ochrona mechaniczna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Stalowe odbojnice lub wysepka zabezpieczająca terminal przed najechaniem pojazdem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Temperatura pracy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-30°C do +60°C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Stopień ochrony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IP54 wg PN-EN 60529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Certyfikat zgodności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Deklaracja zgodności WE/UE z właściwymi dyrektywami nowego podejścia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3.9. Stacja robocza (komputer na stanowisku obsługi)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6038"/>
      </w:tblGrid>
      <w:tr w:rsidR="003E4C72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Parametr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Wymaganie minimalne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Typ urządzenia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Komputer stacjonarny PC (architektura x86-64)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Procesor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034A38">
            <w:pPr>
              <w:spacing w:before="30" w:after="30"/>
            </w:pPr>
            <w:r w:rsidRPr="00034A38">
              <w:rPr>
                <w:sz w:val="18"/>
                <w:szCs w:val="18"/>
              </w:rPr>
              <w:t xml:space="preserve">Procesor o architekturze x86-64. Wymaga się, aby zaoferowany procesor osiągał wynik minimum 15 000 punktów w teście wydajności wielowątkowej </w:t>
            </w:r>
            <w:proofErr w:type="spellStart"/>
            <w:r w:rsidRPr="00034A38">
              <w:rPr>
                <w:sz w:val="18"/>
                <w:szCs w:val="18"/>
              </w:rPr>
              <w:t>PassMark</w:t>
            </w:r>
            <w:proofErr w:type="spellEnd"/>
            <w:r w:rsidRPr="00034A38">
              <w:rPr>
                <w:sz w:val="18"/>
                <w:szCs w:val="18"/>
              </w:rPr>
              <w:t xml:space="preserve"> CPU Mark. Weryfikacja spełnienia tego parametru nastąpi na podstawie oficjalnego rankingu dostępnego na stronie www.cpubenchmark.net (stan na dzień składania ofert). Wykonawca zobowiązany jest wskazać w Formularzu oferty dokładny model oferowanego procesora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lastRenderedPageBreak/>
              <w:t>Pamięć RAM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8 GB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Dysk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Min. 512 GB SSD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System operacyjny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Licencjonowany, 64-bitowy system operacyjny klasy biznesowej z interfejsem graficznym, kompatybilny z dostarczonym oprogramowaniem zarządzającym; wymagane wsparcie producenta systemu operacyjnego przez min. 5 lat od daty odbioru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Łączność sieciowa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 xml:space="preserve">Ethernet 100/1000 </w:t>
            </w:r>
            <w:proofErr w:type="spellStart"/>
            <w:r>
              <w:rPr>
                <w:sz w:val="18"/>
                <w:szCs w:val="18"/>
              </w:rPr>
              <w:t>Mbps</w:t>
            </w:r>
            <w:proofErr w:type="spellEnd"/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Drukarka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Drukarka pokwitowań lub etykiet kompatybilna z oprogramowaniem (do dokumentowania transakcji przyjmowanych przez operatora)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Skaner kodów kreskowych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Wymagany – do skanowania biletów parkingowych na stanowisku obsługi recepcji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Zasilanie awaryjne (UPS)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Wymagane; czas podtrzymania min. 15 minut</w:t>
            </w:r>
          </w:p>
        </w:tc>
      </w:tr>
      <w:tr w:rsidR="003E4C72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Certyfikat zgodności</w:t>
            </w:r>
          </w:p>
        </w:tc>
        <w:tc>
          <w:tcPr>
            <w:tcW w:w="60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Deklaracja zgodności WE/UE z właściwymi dyrektywami nowego podejścia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1"/>
        <w:rPr>
          <w:sz w:val="22"/>
          <w:szCs w:val="22"/>
        </w:rPr>
      </w:pPr>
      <w:r w:rsidRPr="00B8351C">
        <w:rPr>
          <w:sz w:val="22"/>
          <w:szCs w:val="22"/>
        </w:rPr>
        <w:t>4. WYMAGANIA FUNKCJONALNE SYSTEMU</w:t>
      </w: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4.1. Scenariusz wjazdu na parking</w:t>
      </w:r>
    </w:p>
    <w:p w:rsidR="003E4C72" w:rsidRPr="00B8351C" w:rsidRDefault="00515B9C">
      <w:pPr>
        <w:pStyle w:val="Nagwek3"/>
        <w:spacing w:before="140" w:after="60"/>
      </w:pPr>
      <w:r w:rsidRPr="00B8351C">
        <w:t>4.1.1. Klient standardowy (bilet)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Pojazd wjeżdża na pętlę indukcyjną przed terminalem wjazdowym.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Terminal wydaje bilet z nadrukowanym kodem kreskowym, datą i godziną wjazdu, nazwą parkingu oraz informacją o konieczności opłacenia biletu w recepcji.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Po pobraniu biletu przez kierowcę szlaban otwiera się automatycznie.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Po przejeździe pojazdu i potwierdzeniu przez pętlę opuszczenia strefy szlaban zamyka się.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Pierwsze 15 minut pobytu jest bezpłatne (konfigurowalny czas grace period w oprogramowaniu).</w:t>
      </w:r>
    </w:p>
    <w:p w:rsidR="003E4C72" w:rsidRPr="00B8351C" w:rsidRDefault="003E4C72">
      <w:pPr>
        <w:spacing w:before="40" w:after="40"/>
        <w:rPr>
          <w:sz w:val="22"/>
          <w:szCs w:val="22"/>
        </w:rPr>
      </w:pPr>
    </w:p>
    <w:p w:rsidR="003E4C72" w:rsidRPr="00B8351C" w:rsidRDefault="00515B9C">
      <w:pPr>
        <w:pStyle w:val="Nagwek3"/>
        <w:spacing w:before="140" w:after="60"/>
      </w:pPr>
      <w:r w:rsidRPr="00B8351C">
        <w:t>4.1.2. Klient abonamentowy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Kierowca przykłada kartę zbliżeniową do czytnika przy terminalu wjazdowym.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System weryfikuje uprawnienia. Przy karcie uprawnionej: automatyczne otwarcie szlabanu bez udziału operatora i bez naliczania opłat.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Po przejeździe pojazdu szlaban zamyka się samoczynnie.</w:t>
      </w:r>
    </w:p>
    <w:p w:rsidR="003E4C72" w:rsidRDefault="003E4C72">
      <w:pPr>
        <w:spacing w:before="40" w:after="40"/>
      </w:pPr>
    </w:p>
    <w:p w:rsidR="003E4C72" w:rsidRPr="00B8351C" w:rsidRDefault="00515B9C">
      <w:pPr>
        <w:pStyle w:val="Nagwek3"/>
        <w:spacing w:before="140" w:after="60"/>
      </w:pPr>
      <w:r w:rsidRPr="00B8351C">
        <w:t>4.1.3. Pojazdy uprzywilejowane (służby ratunkowe, policja, straż)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Możliwość ręcznego otwarcia szlabanu przez operatora ze stanowiska obsługi (recepcja).</w:t>
      </w:r>
    </w:p>
    <w:p w:rsidR="003E4C72" w:rsidRDefault="005B46B7">
      <w:pPr>
        <w:pStyle w:val="Akapitzlist"/>
        <w:numPr>
          <w:ilvl w:val="0"/>
          <w:numId w:val="2"/>
        </w:numPr>
        <w:spacing w:before="40" w:after="40"/>
      </w:pPr>
      <w:r>
        <w:t xml:space="preserve">Możliwość </w:t>
      </w:r>
      <w:r w:rsidR="00515B9C">
        <w:t xml:space="preserve"> automatyczne</w:t>
      </w:r>
      <w:r w:rsidR="00034A38">
        <w:t>go</w:t>
      </w:r>
      <w:r w:rsidR="00515B9C">
        <w:t xml:space="preserve"> otwarci</w:t>
      </w:r>
      <w:r w:rsidR="00034A38">
        <w:t>a</w:t>
      </w:r>
      <w:r w:rsidR="00515B9C">
        <w:t xml:space="preserve"> szlabanu po identyfikacji transpondera o statusie uprzywilejowany.</w:t>
      </w:r>
    </w:p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4.2. Scenariusz rozliczenia i wyjazdu</w:t>
      </w:r>
    </w:p>
    <w:p w:rsidR="003E4C72" w:rsidRPr="00B8351C" w:rsidRDefault="00515B9C">
      <w:pPr>
        <w:pStyle w:val="Nagwek3"/>
        <w:spacing w:before="140" w:after="60"/>
      </w:pPr>
      <w:r w:rsidRPr="00B8351C">
        <w:t>4.2.1. Klient standardowy z biletem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Kierowca udaje się z biletem do stanowiska obsługi (recepcja).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Operator skanuje bilet. Oprogramowanie wyświetla naliczoną opłatę zgodnie z aktualną taryfą.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Operator pobiera opłatę i przekodowuje bilet (rejestracja transakcji w dzienniku zdarzeń i raporcie).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lastRenderedPageBreak/>
        <w:t>Kierowca udaje się do terminala wyjazdowego z przekodowanym biletem. Terminal otwiera szlaban, jeżeli bilet jest prawidłowo opłacony ORAZ nie minął konfigurowalny czas od opłacenia do wyjazdu (domyślnie: 15 minut; wartość konfigurowana przez administratora).</w:t>
      </w:r>
    </w:p>
    <w:p w:rsidR="003E4C72" w:rsidRPr="00B8351C" w:rsidRDefault="003E4C72">
      <w:pPr>
        <w:spacing w:before="40" w:after="40"/>
        <w:rPr>
          <w:sz w:val="22"/>
          <w:szCs w:val="22"/>
        </w:rPr>
      </w:pPr>
    </w:p>
    <w:p w:rsidR="003E4C72" w:rsidRPr="00B8351C" w:rsidRDefault="00515B9C">
      <w:pPr>
        <w:pStyle w:val="Nagwek3"/>
        <w:spacing w:before="140" w:after="60"/>
      </w:pPr>
      <w:r w:rsidRPr="00B8351C">
        <w:t>4.2.2. Klient abonamentowy (wyjazd)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Po wykryciu pojazdu przez pętlę indukcyjną kierowca przykłada kartę do czytnika przy terminalu wyjazdowym.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System automatycznie otwiera szlaban dla kart uprawnionych.</w:t>
      </w:r>
    </w:p>
    <w:p w:rsidR="003E4C72" w:rsidRPr="00B8351C" w:rsidRDefault="003E4C72">
      <w:pPr>
        <w:spacing w:before="40" w:after="40"/>
        <w:rPr>
          <w:sz w:val="22"/>
          <w:szCs w:val="22"/>
        </w:rPr>
      </w:pPr>
    </w:p>
    <w:p w:rsidR="003E4C72" w:rsidRPr="00B8351C" w:rsidRDefault="00515B9C">
      <w:pPr>
        <w:pStyle w:val="Nagwek3"/>
        <w:spacing w:before="140" w:after="60"/>
      </w:pPr>
      <w:r w:rsidRPr="00B8351C">
        <w:t>4.2.3. Przypadki szczególne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Klient zwolniony z opłat (np. służby, serwis): Operator skanuje bilet, wybiera taryfę zwolnioną z opłat lub z rabatem. Wszystkie zwolnienia i rabaty są rejestrowane w dzienniku zdarzeń. Bilet jest przekodowywany i umożliwia wyjazd.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Klient bez biletu (bilet zgubiony): Operator ma możliwość ręcznego wprowadzenia godziny wjazdu lub naliczenia stałej opłaty. Transakcja jest rejestrowana.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Klient, który nie zdążył wyjechać w wyznaczonym czasie: Operator ma możliwość przedłużenia czasu wyjazdu lub ponownego przekodowania biletu.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Klient pozostawiający pojazd na kilka dni (karta tymczasowa): System umożliwia wymianę biletu parkingowego na kartę zbliżeniową z określonym terminem ważności. Przed ostatecznym wyjazdem bilet jest rozliczany zgodnie z taryfą.</w:t>
      </w:r>
    </w:p>
    <w:p w:rsidR="003E4C72" w:rsidRDefault="003E4C72">
      <w:pPr>
        <w:spacing w:before="40" w:after="40"/>
      </w:pPr>
    </w:p>
    <w:p w:rsidR="003E4C72" w:rsidRPr="00B8351C" w:rsidRDefault="00515B9C">
      <w:pPr>
        <w:pStyle w:val="Nagwek1"/>
        <w:rPr>
          <w:sz w:val="22"/>
          <w:szCs w:val="22"/>
        </w:rPr>
      </w:pPr>
      <w:r w:rsidRPr="00B8351C">
        <w:rPr>
          <w:sz w:val="22"/>
          <w:szCs w:val="22"/>
        </w:rPr>
        <w:t>5. OPROGRAMOWANIE ZARZĄDZAJĄCE</w:t>
      </w: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5.1. Język i dostępność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Interfejs użytkownika i całość dokumentacji systemowej: wyłącznie w języku polskim.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Niedopuszczalne są wersje demonstracyjne, testowe lub z ograniczoną funkcjonalnością.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Instalacja lokalna na stacji roboczej.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Licencja bezterminowa bez cyklicznego odnawiania subskrypcji dla funkcji podstawowych opisanych w pkt 5.2–5.4.</w:t>
      </w:r>
    </w:p>
    <w:p w:rsidR="003E4C72" w:rsidRPr="00B8351C" w:rsidRDefault="003E4C72">
      <w:pPr>
        <w:spacing w:before="40" w:after="40"/>
        <w:rPr>
          <w:sz w:val="22"/>
          <w:szCs w:val="22"/>
        </w:rPr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5.2. Wymagane funkcje – moduł operatora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Obsługa sprzedaży i rozliczeń: skanowanie biletu, wyświetlanie naliczonej opłaty zgodnie z taryfą, rejestracja transakcji gotówkowych i bezgotówkowych, przekodowywanie biletów.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Zdalne otwieranie i zamykanie każdego szlabanu z poziomu stacji roboczej.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Bieżący podgląd stanu systemu: status szlabanów (otwarty/zamknięty/awaria), liczba pojazdów na parkingu, stan zasobnika biletów.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Obsługa przypadków szczególnych: klient zwolniony z opłat (wybór taryfy zwolnionej z obowiązkową rejestracją), bilet zgubiony, przedłużenie czasu wyjazdu.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Przegląd dziennika zdarzeń (log): data, godzina, typ zdarzenia, identyfikator karty/biletu, kwota, identyfikator operatora; retencja min. 180 dni.</w:t>
      </w:r>
    </w:p>
    <w:p w:rsidR="003E4C72" w:rsidRPr="00B8351C" w:rsidRDefault="003E4C72">
      <w:pPr>
        <w:spacing w:before="40" w:after="40"/>
        <w:rPr>
          <w:sz w:val="22"/>
          <w:szCs w:val="22"/>
        </w:rPr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5.3. Wymagane funkcje – moduł administratora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Zarządzanie kartami: dodawanie, usuwanie, blokowanie, ustawianie okresu ważności i grupy dostępu.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Tworzenie dowolnej liczby grup użytkowników (abonamentowi, uprzywilejowani, zablokowani, warunkowi i inne).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Konfiguracja taryf: definiowanie stawek godzinowych, dobowych, abonamentowych, czasu bezpłatnego pobytu (grace period), czasu od opłacenia do wyjazdu, zniżek i zwolnień.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Definiowanie liczby miejsc parkingowych.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Zarządzanie kontami operatorów z różnym poziomem uprawnień.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Wykonanie i przywrócenie kopii zapasowej konfiguracji systemu.</w:t>
      </w:r>
    </w:p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5.4. Raportowanie i eksport danych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Generowanie raportów dziennych i miesięcznych: zestawienie transakcji, przychody z podziałem na taryfy i grupy użytkowników, statystyki obciążenia parkingu.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Tworzenie zestawień opłat z podziałem na taryfy za dowolnie wybrany okres.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Baza klientów parkingu z możliwością eksportu do arkuszy kalkulacyjnych (min. format CSV lub XLSX).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Eksport danych w formatach CSV i PDF.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Automatyczne kopie zapasowe bazy danych i konfiguracji – minimum raz na dobę.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Opcjonalnie: automatyczne raporty e-mail do wskazanych adresatów zgodnie z konfigurowalnym harmonogramem.</w:t>
      </w:r>
    </w:p>
    <w:p w:rsidR="003E4C72" w:rsidRDefault="003E4C72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E4C72">
        <w:tc>
          <w:tcPr>
            <w:tcW w:w="9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color w:val="2E74B5"/>
                <w:sz w:val="18"/>
                <w:szCs w:val="18"/>
              </w:rPr>
              <w:t>Zamawiający nie wyklucza w przyszłości rozszerzenia systemu o: automatyczne kasy biletowe,</w:t>
            </w:r>
          </w:p>
          <w:p w:rsidR="003E4C72" w:rsidRDefault="00515B9C">
            <w:pPr>
              <w:spacing w:before="30" w:after="30"/>
            </w:pPr>
            <w:r>
              <w:rPr>
                <w:color w:val="2E74B5"/>
                <w:sz w:val="18"/>
                <w:szCs w:val="18"/>
              </w:rPr>
              <w:t>system ANPR/LPR, tablicę informacyjną liczby wolnych miejsc, moduł fiskalny. Wykonawca nie</w:t>
            </w:r>
          </w:p>
          <w:p w:rsidR="003E4C72" w:rsidRDefault="00515B9C">
            <w:pPr>
              <w:spacing w:before="30" w:after="30"/>
            </w:pPr>
            <w:r>
              <w:rPr>
                <w:color w:val="2E74B5"/>
                <w:sz w:val="18"/>
                <w:szCs w:val="18"/>
              </w:rPr>
              <w:t>jest zobligowany do wdrożenia tych modułów w ramach niniejszego zamówienia, jednak architektura</w:t>
            </w:r>
          </w:p>
          <w:p w:rsidR="003E4C72" w:rsidRDefault="00515B9C">
            <w:pPr>
              <w:spacing w:before="30" w:after="30"/>
            </w:pPr>
            <w:r>
              <w:rPr>
                <w:color w:val="2E74B5"/>
                <w:sz w:val="18"/>
                <w:szCs w:val="18"/>
              </w:rPr>
              <w:t>systemu musi zapewniać możliwość ich późniejszego dołączenia bez konieczności wymiany</w:t>
            </w:r>
          </w:p>
          <w:p w:rsidR="003E4C72" w:rsidRDefault="00515B9C">
            <w:pPr>
              <w:spacing w:before="30" w:after="30"/>
            </w:pPr>
            <w:r>
              <w:rPr>
                <w:color w:val="2E74B5"/>
                <w:sz w:val="18"/>
                <w:szCs w:val="18"/>
              </w:rPr>
              <w:t>podstawowych komponentów.</w:t>
            </w:r>
          </w:p>
        </w:tc>
      </w:tr>
    </w:tbl>
    <w:p w:rsidR="003E4C72" w:rsidRDefault="003E4C72">
      <w:pPr>
        <w:spacing w:before="40" w:after="40"/>
      </w:pPr>
    </w:p>
    <w:p w:rsidR="003E4C72" w:rsidRPr="00B8351C" w:rsidRDefault="00515B9C">
      <w:pPr>
        <w:pStyle w:val="Nagwek1"/>
        <w:rPr>
          <w:sz w:val="22"/>
          <w:szCs w:val="22"/>
        </w:rPr>
      </w:pPr>
      <w:r w:rsidRPr="00B8351C">
        <w:rPr>
          <w:sz w:val="22"/>
          <w:szCs w:val="22"/>
        </w:rPr>
        <w:t>6. ZAKRES PRAC INSTALACYJNO-WDROŻENIOWYCH</w:t>
      </w: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6.1. Prace elektryczne i teletechniczne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Wykonanie kompletnej instalacji elektrycznej 230V AC od wskazanego przez Zamawiającego punktu rozdzielczego do każdego urządzenia. Przekrój przewodu zasilającego: min. 3×2,5 mm² (YDY lub równoważny). Instalacja w rurach DVR lub korytach PCV o stopniu ochrony min. IP54.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Wykonanie instalacji teletechnicznej/sterującej. Trasy kablowe uzgodnione z Zamawiającym podczas wizji lokalnej.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Kabel LAN: min. Cat.6 FTP, układany w osobnych trasach od instalacji elektrycznej (odstęp min. 20 cm). Długość odcinka max. 90 m.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Wszystkie przejścia przez ściany i posadzki w przepustach PVC z uszczelnieniem ognioodpornym.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Wykonawca sporządzi schemat tras kablowych z długościami odcinków, rodzajem kabli i oznaczeniami obwodów stanowiący element dokumentacji powykonawczej.</w:t>
      </w:r>
    </w:p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6.2. Montaż mechaniczny i ochrona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Montaż terminali wjazdowego i wyjazdowego oraz szlabanów w lokalizacjach uzgodnionych podczas wizji lokalnej.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Dostawa i montaż stalowych odbojnic lub wysepek ochronnych przy każdym terminalu i słupku z czytnikiem.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Montaż pętli indukcyjnych zgodnie z dokumentacją producenta; sporządzenie dokumentacji pętli (lokalizacja, głębokość, typ kabla).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Doprowadzenie terenu prac do stanu pierwotnego po zakończeniu montażu.</w:t>
      </w:r>
    </w:p>
    <w:p w:rsidR="003E4C72" w:rsidRDefault="003E4C72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6.3. Uruchomienie i konfiguracja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Instalacja i konfiguracja oprogramowania na stacji roboczej.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Konfiguracja taryf, grup użytkowników i kart zgodnie z wytycznymi Zamawiającego.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 xml:space="preserve">Testy funkcjonalne: wydawanie biletów, odczyt kart, detekcja przez pętlę indukcyjną, </w:t>
      </w:r>
      <w:proofErr w:type="spellStart"/>
      <w:r>
        <w:t>wideodomofon</w:t>
      </w:r>
      <w:proofErr w:type="spellEnd"/>
      <w:r>
        <w:t>, zdalne sterowanie szlabanami, raportowanie.</w:t>
      </w:r>
    </w:p>
    <w:p w:rsidR="003E4C72" w:rsidRDefault="003E4C72">
      <w:pPr>
        <w:spacing w:before="40" w:after="40"/>
      </w:pPr>
    </w:p>
    <w:p w:rsidR="00B8351C" w:rsidRDefault="00B8351C">
      <w:pPr>
        <w:spacing w:before="40" w:after="40"/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6.4. Szkolenie personelu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lastRenderedPageBreak/>
        <w:t>Szkolenie dla operatorów i administratora systemu – minimum 4 godziny w siedzibie Zamawiającego.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Zakres szkolenia: codzienna obsługa, konfiguracja taryf i kart, rozliczenia, raporty, postępowanie awaryjne.</w:t>
      </w:r>
    </w:p>
    <w:p w:rsidR="003E4C72" w:rsidRPr="00B8351C" w:rsidRDefault="003E4C72">
      <w:pPr>
        <w:spacing w:before="40" w:after="40"/>
        <w:rPr>
          <w:sz w:val="22"/>
          <w:szCs w:val="22"/>
        </w:rPr>
      </w:pP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6.5. Dokumentacja powykonawcza</w:t>
      </w:r>
    </w:p>
    <w:p w:rsidR="003E4C72" w:rsidRDefault="00515B9C">
      <w:pPr>
        <w:spacing w:before="60" w:after="80"/>
        <w:jc w:val="both"/>
      </w:pPr>
      <w:r>
        <w:t>Wykonawca przekaże kompletną dokumentację powykonawczą w języku polskim, zawierającą: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projekt rozmieszczenia urządzeń (rzut z naniesionymi lokalizacjami);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schemat tras kablowych z długościami odcinków, rodzajem kabli i oznaczeniami obwodów;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protokół pomiarów elektrycznych (rezystancja izolacji, ciągłość ochronna);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instrukcję obsługi dla operatorów (PL);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instrukcję administratora systemu wraz z kodami serwisowymi (PL);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wykaz dostarczonych urządzeń: model, numer seryjny, producent;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kopie deklaracji zgodności CE urządzeń;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nośnik danych z wersją instalacyjną oprogramowania do zarządzania parkingiem;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dokumentację pętli indukcyjnych (lokalizacja, głębokość, typ kabla).</w:t>
      </w:r>
    </w:p>
    <w:p w:rsidR="003E4C72" w:rsidRDefault="003E4C72">
      <w:pPr>
        <w:spacing w:before="40" w:after="40"/>
      </w:pPr>
    </w:p>
    <w:p w:rsidR="003E4C72" w:rsidRPr="00B8351C" w:rsidRDefault="00515B9C">
      <w:pPr>
        <w:pStyle w:val="Nagwek1"/>
        <w:rPr>
          <w:sz w:val="22"/>
          <w:szCs w:val="22"/>
        </w:rPr>
      </w:pPr>
      <w:r w:rsidRPr="00B8351C">
        <w:rPr>
          <w:sz w:val="22"/>
          <w:szCs w:val="22"/>
        </w:rPr>
        <w:t xml:space="preserve">7. WARUNKI RÓWNOWAŻNOŚCI </w:t>
      </w:r>
    </w:p>
    <w:p w:rsidR="003E4C72" w:rsidRDefault="00515B9C">
      <w:pPr>
        <w:spacing w:before="60" w:after="80"/>
        <w:jc w:val="both"/>
      </w:pPr>
      <w:r>
        <w:t>Jeżeli w Opisie Przedmiotu Zamówienia zostały użyte nazwy własne, znaki towarowe, patenty lub wskazano proweniencję urządzeń, należy je traktować jako przykładowe, z towarzyszącym im oznaczeniem 'lub równoważny'. Zamawiający dopuszcza składanie ofert z produktami równoważnymi.</w:t>
      </w:r>
    </w:p>
    <w:p w:rsidR="003E4C72" w:rsidRDefault="003E4C72">
      <w:pPr>
        <w:spacing w:before="40" w:after="40"/>
      </w:pPr>
    </w:p>
    <w:p w:rsidR="003E4C72" w:rsidRDefault="00515B9C">
      <w:pPr>
        <w:spacing w:before="60" w:after="80"/>
        <w:jc w:val="both"/>
      </w:pPr>
      <w:r>
        <w:t>Za produkt lub rozwiązanie równoważne uznaje się takie, które: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spełnia wszystkie minimalne wymagania techniczne i funkcjonalne określone w OPZ;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zapewnia parametry eksploatacyjne nie gorsze niż parametry wskazane w OPZ;</w:t>
      </w:r>
    </w:p>
    <w:p w:rsidR="003E4C72" w:rsidRDefault="00515B9C">
      <w:pPr>
        <w:pStyle w:val="Akapitzlist"/>
        <w:numPr>
          <w:ilvl w:val="0"/>
          <w:numId w:val="2"/>
        </w:numPr>
        <w:spacing w:before="40" w:after="40"/>
      </w:pPr>
      <w:r>
        <w:t>jest kompatybilne z pozostałymi elementami systemu.</w:t>
      </w:r>
    </w:p>
    <w:p w:rsidR="003E4C72" w:rsidRDefault="003E4C72">
      <w:pPr>
        <w:spacing w:before="40" w:after="40"/>
      </w:pPr>
    </w:p>
    <w:p w:rsidR="003E4C72" w:rsidRDefault="00515B9C">
      <w:pPr>
        <w:spacing w:before="60" w:after="80"/>
        <w:jc w:val="both"/>
      </w:pPr>
      <w:r>
        <w:t>Wykonawca, który powołuje się na rozwiązania równoważne, jest zobowiązany wykazać, że oferowane przez niego produkty spełniają wymagania Zamawiającego, poprzez dołączenie do oferty kart technicznych, certyfikatów lub oświadczeń producenta.</w:t>
      </w:r>
    </w:p>
    <w:p w:rsidR="003E4C72" w:rsidRDefault="003E4C72">
      <w:pPr>
        <w:spacing w:before="40" w:after="40"/>
      </w:pPr>
    </w:p>
    <w:p w:rsidR="003E4C72" w:rsidRPr="00B8351C" w:rsidRDefault="00515B9C">
      <w:pPr>
        <w:pStyle w:val="Nagwek1"/>
        <w:rPr>
          <w:sz w:val="22"/>
          <w:szCs w:val="22"/>
        </w:rPr>
      </w:pPr>
      <w:r w:rsidRPr="00B8351C">
        <w:rPr>
          <w:sz w:val="22"/>
          <w:szCs w:val="22"/>
        </w:rPr>
        <w:t>8. INFORMACJE UZUPEŁNIAJĄCE</w:t>
      </w:r>
    </w:p>
    <w:p w:rsidR="003E4C72" w:rsidRPr="00B8351C" w:rsidRDefault="00515B9C">
      <w:pPr>
        <w:pStyle w:val="Nagwek2"/>
        <w:rPr>
          <w:sz w:val="22"/>
          <w:szCs w:val="22"/>
        </w:rPr>
      </w:pPr>
      <w:r w:rsidRPr="00B8351C">
        <w:rPr>
          <w:sz w:val="22"/>
          <w:szCs w:val="22"/>
        </w:rPr>
        <w:t>8.1. Kody CPV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638"/>
      </w:tblGrid>
      <w:tr w:rsidR="003E4C72">
        <w:trPr>
          <w:tblHeader/>
        </w:trPr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Kod CPV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r>
              <w:rPr>
                <w:b/>
                <w:bCs/>
                <w:color w:val="FFFFFF"/>
                <w:sz w:val="18"/>
                <w:szCs w:val="18"/>
              </w:rPr>
              <w:t>Opis</w:t>
            </w:r>
          </w:p>
        </w:tc>
      </w:tr>
      <w:tr w:rsidR="00515B9C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5B9C" w:rsidRDefault="00515B9C">
            <w:pPr>
              <w:spacing w:before="30" w:after="30"/>
              <w:rPr>
                <w:b/>
                <w:bCs/>
                <w:sz w:val="18"/>
                <w:szCs w:val="18"/>
              </w:rPr>
            </w:pPr>
            <w:r w:rsidRPr="00515B9C">
              <w:rPr>
                <w:b/>
                <w:bCs/>
                <w:sz w:val="18"/>
                <w:szCs w:val="18"/>
              </w:rPr>
              <w:t>34928480-6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5B9C" w:rsidRDefault="00515B9C">
            <w:pPr>
              <w:spacing w:before="30" w:after="30"/>
              <w:rPr>
                <w:sz w:val="18"/>
                <w:szCs w:val="18"/>
              </w:rPr>
            </w:pPr>
            <w:r w:rsidRPr="00515B9C">
              <w:rPr>
                <w:sz w:val="18"/>
                <w:szCs w:val="18"/>
              </w:rPr>
              <w:t>Urządzenia do kontroli parkowania</w:t>
            </w:r>
          </w:p>
        </w:tc>
      </w:tr>
      <w:tr w:rsidR="00515B9C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5B9C" w:rsidRDefault="00515B9C">
            <w:pPr>
              <w:spacing w:before="30" w:after="30"/>
              <w:rPr>
                <w:b/>
                <w:bCs/>
                <w:sz w:val="18"/>
                <w:szCs w:val="18"/>
              </w:rPr>
            </w:pPr>
            <w:r w:rsidRPr="00515B9C">
              <w:rPr>
                <w:b/>
                <w:bCs/>
                <w:sz w:val="18"/>
                <w:szCs w:val="18"/>
              </w:rPr>
              <w:t>34928440-4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5B9C" w:rsidRDefault="00515B9C">
            <w:pPr>
              <w:spacing w:before="30" w:after="30"/>
              <w:rPr>
                <w:sz w:val="18"/>
                <w:szCs w:val="18"/>
              </w:rPr>
            </w:pPr>
            <w:r w:rsidRPr="00515B9C">
              <w:rPr>
                <w:sz w:val="18"/>
                <w:szCs w:val="18"/>
              </w:rPr>
              <w:t>Systemy opłat parkingowych</w:t>
            </w:r>
          </w:p>
        </w:tc>
      </w:tr>
      <w:tr w:rsidR="003E4C72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42961100-1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System kontroli dostępu</w:t>
            </w:r>
          </w:p>
        </w:tc>
      </w:tr>
      <w:tr w:rsidR="003E4C72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45316100-6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Instalowanie urządzeń oświetlenia zewnętrznego i sygnalizacji</w:t>
            </w:r>
          </w:p>
        </w:tc>
      </w:tr>
      <w:tr w:rsidR="003E4C72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51900000-1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Usługi instalowania systemów sterowania i kontroli</w:t>
            </w:r>
          </w:p>
        </w:tc>
      </w:tr>
      <w:tr w:rsidR="003E4C72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72268000-1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Usługi dostawy oprogramowania</w:t>
            </w:r>
          </w:p>
        </w:tc>
      </w:tr>
      <w:tr w:rsidR="003E4C72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b/>
                <w:bCs/>
                <w:sz w:val="18"/>
                <w:szCs w:val="18"/>
              </w:rPr>
              <w:t>50700000-2</w:t>
            </w:r>
          </w:p>
        </w:tc>
        <w:tc>
          <w:tcPr>
            <w:tcW w:w="6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E4C72" w:rsidRDefault="00515B9C">
            <w:pPr>
              <w:spacing w:before="30" w:after="30"/>
            </w:pPr>
            <w:r>
              <w:rPr>
                <w:sz w:val="18"/>
                <w:szCs w:val="18"/>
              </w:rPr>
              <w:t>Usługi w zakresie napraw i konserwacji instalacji budynkowych (serwis gwarancyjny)</w:t>
            </w:r>
          </w:p>
        </w:tc>
      </w:tr>
    </w:tbl>
    <w:p w:rsidR="003E4C72" w:rsidRDefault="003E4C72">
      <w:pPr>
        <w:spacing w:before="40" w:after="40"/>
      </w:pPr>
    </w:p>
    <w:sectPr w:rsidR="003E4C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4" w:right="1134" w:bottom="141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E88" w:rsidRDefault="00FE0E88">
      <w:r>
        <w:separator/>
      </w:r>
    </w:p>
  </w:endnote>
  <w:endnote w:type="continuationSeparator" w:id="0">
    <w:p w:rsidR="00FE0E88" w:rsidRDefault="00FE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E3" w:rsidRDefault="009E4E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C72" w:rsidRDefault="00515B9C">
    <w:pPr>
      <w:pBdr>
        <w:top w:val="single" w:sz="6" w:space="1" w:color="2E74B5"/>
      </w:pBdr>
      <w:spacing w:before="60"/>
    </w:pPr>
    <w:r>
      <w:rPr>
        <w:color w:val="777777"/>
        <w:sz w:val="16"/>
        <w:szCs w:val="16"/>
      </w:rPr>
      <w:t>Instytut Biocybernetyki i Inżynierii Biomedycznej im. Macieja Nałęcza PAN, ul. K</w:t>
    </w:r>
    <w:r w:rsidR="009E4EE3">
      <w:rPr>
        <w:color w:val="777777"/>
        <w:sz w:val="16"/>
        <w:szCs w:val="16"/>
      </w:rPr>
      <w:t xml:space="preserve">sięcia </w:t>
    </w:r>
    <w:r>
      <w:rPr>
        <w:color w:val="777777"/>
        <w:sz w:val="16"/>
        <w:szCs w:val="16"/>
      </w:rPr>
      <w:t xml:space="preserve"> </w:t>
    </w:r>
    <w:proofErr w:type="spellStart"/>
    <w:r>
      <w:rPr>
        <w:color w:val="777777"/>
        <w:sz w:val="16"/>
        <w:szCs w:val="16"/>
      </w:rPr>
      <w:t>Trojdena</w:t>
    </w:r>
    <w:proofErr w:type="spellEnd"/>
    <w:r>
      <w:rPr>
        <w:color w:val="777777"/>
        <w:sz w:val="16"/>
        <w:szCs w:val="16"/>
      </w:rPr>
      <w:t xml:space="preserve"> 4, 02-109 Warszawa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E3" w:rsidRDefault="009E4E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E88" w:rsidRDefault="00FE0E88">
      <w:r>
        <w:separator/>
      </w:r>
    </w:p>
  </w:footnote>
  <w:footnote w:type="continuationSeparator" w:id="0">
    <w:p w:rsidR="00FE0E88" w:rsidRDefault="00FE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E3" w:rsidRDefault="009E4E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C72" w:rsidRPr="009030EE" w:rsidRDefault="00515B9C">
    <w:pPr>
      <w:pBdr>
        <w:bottom w:val="single" w:sz="6" w:space="1" w:color="2E74B5"/>
      </w:pBdr>
      <w:spacing w:after="60"/>
      <w:rPr>
        <w:color w:val="777777"/>
        <w:sz w:val="16"/>
        <w:szCs w:val="16"/>
      </w:rPr>
    </w:pPr>
    <w:r>
      <w:rPr>
        <w:color w:val="777777"/>
        <w:sz w:val="16"/>
        <w:szCs w:val="16"/>
      </w:rPr>
      <w:t xml:space="preserve">OPIS PRZEDMIOTU ZAMÓWIENIA – </w:t>
    </w:r>
    <w:r w:rsidR="007358FA" w:rsidRPr="0098650B">
      <w:rPr>
        <w:sz w:val="18"/>
        <w:szCs w:val="18"/>
      </w:rPr>
      <w:t xml:space="preserve">Dostawa i montaż systemu parkingowego </w:t>
    </w:r>
    <w:r w:rsidR="007358FA">
      <w:rPr>
        <w:sz w:val="18"/>
        <w:szCs w:val="18"/>
      </w:rPr>
      <w:t>dla</w:t>
    </w:r>
    <w:r w:rsidR="007358FA" w:rsidRPr="0098650B">
      <w:rPr>
        <w:sz w:val="18"/>
        <w:szCs w:val="18"/>
      </w:rPr>
      <w:t xml:space="preserve"> IBIB PAN</w:t>
    </w:r>
    <w:r w:rsidR="001A6ACB">
      <w:rPr>
        <w:sz w:val="18"/>
        <w:szCs w:val="18"/>
      </w:rPr>
      <w:t>.</w:t>
    </w:r>
    <w:r w:rsidR="00011550">
      <w:rPr>
        <w:color w:val="777777"/>
        <w:sz w:val="16"/>
        <w:szCs w:val="16"/>
      </w:rPr>
      <w:t xml:space="preserve"> </w:t>
    </w:r>
    <w:proofErr w:type="spellStart"/>
    <w:r w:rsidR="00011550">
      <w:rPr>
        <w:color w:val="777777"/>
        <w:sz w:val="16"/>
        <w:szCs w:val="16"/>
      </w:rPr>
      <w:t>Ozn</w:t>
    </w:r>
    <w:proofErr w:type="spellEnd"/>
    <w:r w:rsidR="00011550">
      <w:rPr>
        <w:color w:val="777777"/>
        <w:sz w:val="16"/>
        <w:szCs w:val="16"/>
      </w:rPr>
      <w:t>.</w:t>
    </w:r>
    <w:r w:rsidR="00D550E6">
      <w:rPr>
        <w:color w:val="777777"/>
        <w:sz w:val="16"/>
        <w:szCs w:val="16"/>
      </w:rPr>
      <w:t xml:space="preserve"> </w:t>
    </w:r>
    <w:r w:rsidR="001A6ACB">
      <w:rPr>
        <w:color w:val="777777"/>
        <w:sz w:val="16"/>
        <w:szCs w:val="16"/>
      </w:rPr>
      <w:t>s</w:t>
    </w:r>
    <w:r w:rsidR="00011550">
      <w:rPr>
        <w:color w:val="777777"/>
        <w:sz w:val="16"/>
        <w:szCs w:val="16"/>
      </w:rPr>
      <w:t>prawy</w:t>
    </w:r>
    <w:r w:rsidR="00D550E6">
      <w:rPr>
        <w:color w:val="777777"/>
        <w:sz w:val="16"/>
        <w:szCs w:val="16"/>
      </w:rPr>
      <w:t>:</w:t>
    </w:r>
    <w:r w:rsidR="00D01E4F">
      <w:rPr>
        <w:color w:val="777777"/>
        <w:sz w:val="16"/>
        <w:szCs w:val="16"/>
      </w:rPr>
      <w:t xml:space="preserve"> DT.OT/230/03/2026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EE3" w:rsidRDefault="009E4E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78A1"/>
    <w:multiLevelType w:val="hybridMultilevel"/>
    <w:tmpl w:val="1FB831C8"/>
    <w:lvl w:ilvl="0" w:tplc="3A6E20B6">
      <w:start w:val="1"/>
      <w:numFmt w:val="bullet"/>
      <w:lvlText w:val="•"/>
      <w:lvlJc w:val="left"/>
      <w:pPr>
        <w:ind w:left="560" w:hanging="280"/>
      </w:pPr>
    </w:lvl>
    <w:lvl w:ilvl="1" w:tplc="2D0A2DE2">
      <w:numFmt w:val="decimal"/>
      <w:lvlText w:val=""/>
      <w:lvlJc w:val="left"/>
    </w:lvl>
    <w:lvl w:ilvl="2" w:tplc="7E04F0F0">
      <w:numFmt w:val="decimal"/>
      <w:lvlText w:val=""/>
      <w:lvlJc w:val="left"/>
    </w:lvl>
    <w:lvl w:ilvl="3" w:tplc="C4187C40">
      <w:numFmt w:val="decimal"/>
      <w:lvlText w:val=""/>
      <w:lvlJc w:val="left"/>
    </w:lvl>
    <w:lvl w:ilvl="4" w:tplc="43825B26">
      <w:numFmt w:val="decimal"/>
      <w:lvlText w:val=""/>
      <w:lvlJc w:val="left"/>
    </w:lvl>
    <w:lvl w:ilvl="5" w:tplc="212255EE">
      <w:numFmt w:val="decimal"/>
      <w:lvlText w:val=""/>
      <w:lvlJc w:val="left"/>
    </w:lvl>
    <w:lvl w:ilvl="6" w:tplc="FAE6E090">
      <w:numFmt w:val="decimal"/>
      <w:lvlText w:val=""/>
      <w:lvlJc w:val="left"/>
    </w:lvl>
    <w:lvl w:ilvl="7" w:tplc="9BD00276">
      <w:numFmt w:val="decimal"/>
      <w:lvlText w:val=""/>
      <w:lvlJc w:val="left"/>
    </w:lvl>
    <w:lvl w:ilvl="8" w:tplc="D4BE24D4">
      <w:numFmt w:val="decimal"/>
      <w:lvlText w:val=""/>
      <w:lvlJc w:val="left"/>
    </w:lvl>
  </w:abstractNum>
  <w:abstractNum w:abstractNumId="1" w15:restartNumberingAfterBreak="0">
    <w:nsid w:val="37CE1A9C"/>
    <w:multiLevelType w:val="hybridMultilevel"/>
    <w:tmpl w:val="F904921A"/>
    <w:lvl w:ilvl="0" w:tplc="53A8DE3C">
      <w:start w:val="1"/>
      <w:numFmt w:val="bullet"/>
      <w:lvlText w:val="●"/>
      <w:lvlJc w:val="left"/>
      <w:pPr>
        <w:ind w:left="720" w:hanging="360"/>
      </w:pPr>
    </w:lvl>
    <w:lvl w:ilvl="1" w:tplc="31DA0808">
      <w:start w:val="1"/>
      <w:numFmt w:val="bullet"/>
      <w:lvlText w:val="○"/>
      <w:lvlJc w:val="left"/>
      <w:pPr>
        <w:ind w:left="1440" w:hanging="360"/>
      </w:pPr>
    </w:lvl>
    <w:lvl w:ilvl="2" w:tplc="6B08812C">
      <w:start w:val="1"/>
      <w:numFmt w:val="bullet"/>
      <w:lvlText w:val="■"/>
      <w:lvlJc w:val="left"/>
      <w:pPr>
        <w:ind w:left="2160" w:hanging="360"/>
      </w:pPr>
    </w:lvl>
    <w:lvl w:ilvl="3" w:tplc="04301522">
      <w:start w:val="1"/>
      <w:numFmt w:val="bullet"/>
      <w:lvlText w:val="●"/>
      <w:lvlJc w:val="left"/>
      <w:pPr>
        <w:ind w:left="2880" w:hanging="360"/>
      </w:pPr>
    </w:lvl>
    <w:lvl w:ilvl="4" w:tplc="000045B0">
      <w:start w:val="1"/>
      <w:numFmt w:val="bullet"/>
      <w:lvlText w:val="○"/>
      <w:lvlJc w:val="left"/>
      <w:pPr>
        <w:ind w:left="3600" w:hanging="360"/>
      </w:pPr>
    </w:lvl>
    <w:lvl w:ilvl="5" w:tplc="BF804B5C">
      <w:start w:val="1"/>
      <w:numFmt w:val="bullet"/>
      <w:lvlText w:val="■"/>
      <w:lvlJc w:val="left"/>
      <w:pPr>
        <w:ind w:left="4320" w:hanging="360"/>
      </w:pPr>
    </w:lvl>
    <w:lvl w:ilvl="6" w:tplc="736C66C8">
      <w:start w:val="1"/>
      <w:numFmt w:val="bullet"/>
      <w:lvlText w:val="●"/>
      <w:lvlJc w:val="left"/>
      <w:pPr>
        <w:ind w:left="5040" w:hanging="360"/>
      </w:pPr>
    </w:lvl>
    <w:lvl w:ilvl="7" w:tplc="5FF47B9E">
      <w:start w:val="1"/>
      <w:numFmt w:val="bullet"/>
      <w:lvlText w:val="●"/>
      <w:lvlJc w:val="left"/>
      <w:pPr>
        <w:ind w:left="5760" w:hanging="360"/>
      </w:pPr>
    </w:lvl>
    <w:lvl w:ilvl="8" w:tplc="B9649FB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BE74E0C"/>
    <w:multiLevelType w:val="multilevel"/>
    <w:tmpl w:val="AF98FCF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2"/>
    <w:rsid w:val="00011550"/>
    <w:rsid w:val="00011CCF"/>
    <w:rsid w:val="00034A38"/>
    <w:rsid w:val="0009749E"/>
    <w:rsid w:val="001662A6"/>
    <w:rsid w:val="001A6ACB"/>
    <w:rsid w:val="002159A7"/>
    <w:rsid w:val="003A054E"/>
    <w:rsid w:val="003E4C72"/>
    <w:rsid w:val="00487437"/>
    <w:rsid w:val="00515B9C"/>
    <w:rsid w:val="005B46B7"/>
    <w:rsid w:val="0060382C"/>
    <w:rsid w:val="007358FA"/>
    <w:rsid w:val="007E2C8F"/>
    <w:rsid w:val="0086775C"/>
    <w:rsid w:val="008D19B3"/>
    <w:rsid w:val="008F3DBD"/>
    <w:rsid w:val="009030EE"/>
    <w:rsid w:val="009E4EE3"/>
    <w:rsid w:val="00A36375"/>
    <w:rsid w:val="00B40186"/>
    <w:rsid w:val="00B8351C"/>
    <w:rsid w:val="00BB017B"/>
    <w:rsid w:val="00C2426F"/>
    <w:rsid w:val="00C703E3"/>
    <w:rsid w:val="00D01E4F"/>
    <w:rsid w:val="00D550E6"/>
    <w:rsid w:val="00D55685"/>
    <w:rsid w:val="00F13D9D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9D36"/>
  <w15:docId w15:val="{4A763CA6-854D-4DC4-8FE6-E2845B2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80" w:after="140"/>
      <w:outlineLvl w:val="0"/>
    </w:pPr>
    <w:rPr>
      <w:b/>
      <w:bCs/>
      <w:color w:val="1F3864"/>
      <w:sz w:val="28"/>
      <w:szCs w:val="28"/>
    </w:rPr>
  </w:style>
  <w:style w:type="paragraph" w:styleId="Nagwek2">
    <w:name w:val="heading 2"/>
    <w:uiPriority w:val="9"/>
    <w:unhideWhenUsed/>
    <w:qFormat/>
    <w:pPr>
      <w:spacing w:before="200" w:after="100"/>
      <w:outlineLvl w:val="1"/>
    </w:pPr>
    <w:rPr>
      <w:b/>
      <w:bCs/>
      <w:color w:val="2E74B5"/>
      <w:sz w:val="24"/>
      <w:szCs w:val="24"/>
    </w:rPr>
  </w:style>
  <w:style w:type="paragraph" w:styleId="Nagwek3">
    <w:name w:val="heading 3"/>
    <w:uiPriority w:val="9"/>
    <w:unhideWhenUsed/>
    <w:qFormat/>
    <w:pPr>
      <w:spacing w:before="160" w:after="80"/>
      <w:outlineLvl w:val="2"/>
    </w:pPr>
    <w:rPr>
      <w:b/>
      <w:bCs/>
      <w:color w:val="2E74B5"/>
      <w:sz w:val="22"/>
      <w:szCs w:val="22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1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E4F"/>
  </w:style>
  <w:style w:type="paragraph" w:styleId="Stopka">
    <w:name w:val="footer"/>
    <w:basedOn w:val="Normalny"/>
    <w:link w:val="StopkaZnak"/>
    <w:uiPriority w:val="99"/>
    <w:unhideWhenUsed/>
    <w:rsid w:val="00D01E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E4F"/>
  </w:style>
  <w:style w:type="character" w:styleId="Uwydatnienie">
    <w:name w:val="Emphasis"/>
    <w:basedOn w:val="Domylnaczcionkaakapitu"/>
    <w:uiPriority w:val="20"/>
    <w:qFormat/>
    <w:rsid w:val="007E2C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3353</Words>
  <Characters>20121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Teresa Obrębska</cp:lastModifiedBy>
  <cp:revision>17</cp:revision>
  <dcterms:created xsi:type="dcterms:W3CDTF">2026-03-12T11:45:00Z</dcterms:created>
  <dcterms:modified xsi:type="dcterms:W3CDTF">2026-03-23T12:25:00Z</dcterms:modified>
</cp:coreProperties>
</file>